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019" w:rsidRPr="00615DB3" w:rsidRDefault="006F5775" w:rsidP="00C40019">
      <w:pPr>
        <w:pStyle w:val="SectionTitle"/>
      </w:pPr>
      <w:r w:rsidRPr="00615DB3">
        <w:t xml:space="preserve">Topic: </w:t>
      </w:r>
      <w:r w:rsidR="00615DB3" w:rsidRPr="00615DB3">
        <w:t>Terrorism</w:t>
      </w:r>
    </w:p>
    <w:p w:rsidR="00615DB3" w:rsidRPr="00615DB3" w:rsidRDefault="00615DB3" w:rsidP="00615DB3">
      <w:pPr>
        <w:rPr>
          <w:rFonts w:ascii="Century Schoolbook" w:hAnsi="Century Schoolbook"/>
          <w:color w:val="253F90"/>
        </w:rPr>
      </w:pPr>
      <w:r w:rsidRPr="00615DB3">
        <w:rPr>
          <w:rFonts w:ascii="Century Schoolbook" w:hAnsi="Century Schoolbook"/>
          <w:color w:val="253F90"/>
        </w:rPr>
        <w:t>Deemed “one of the most serious threats to international peace and security”</w:t>
      </w:r>
      <w:r w:rsidRPr="00615DB3">
        <w:rPr>
          <w:rStyle w:val="EndnoteReference"/>
          <w:rFonts w:ascii="Century Schoolbook" w:hAnsi="Century Schoolbook"/>
          <w:color w:val="253F90"/>
        </w:rPr>
        <w:endnoteReference w:id="1"/>
      </w:r>
      <w:r w:rsidRPr="00615DB3">
        <w:rPr>
          <w:rFonts w:ascii="Century Schoolbook" w:hAnsi="Century Schoolbook"/>
          <w:color w:val="253F90"/>
        </w:rPr>
        <w:t xml:space="preserve"> by the United Nations, terrorism threatens the safety of innocent people all around the world. An act of terrorism is violence carried out by a </w:t>
      </w:r>
      <w:r w:rsidRPr="00615DB3">
        <w:rPr>
          <w:rFonts w:ascii="Century Schoolbook" w:hAnsi="Century Schoolbook"/>
          <w:b/>
          <w:color w:val="253F90"/>
        </w:rPr>
        <w:t>non-state</w:t>
      </w:r>
      <w:r w:rsidRPr="00615DB3">
        <w:rPr>
          <w:rStyle w:val="FootnoteReference"/>
          <w:rFonts w:ascii="Century Schoolbook" w:hAnsi="Century Schoolbook"/>
          <w:b/>
          <w:color w:val="253F90"/>
        </w:rPr>
        <w:footnoteReference w:id="1"/>
      </w:r>
      <w:r w:rsidRPr="00615DB3">
        <w:rPr>
          <w:rFonts w:ascii="Century Schoolbook" w:hAnsi="Century Schoolbook"/>
          <w:color w:val="253F90"/>
        </w:rPr>
        <w:t xml:space="preserve"> actor with political, ideological or religious motivations.</w:t>
      </w:r>
      <w:r w:rsidRPr="00615DB3">
        <w:rPr>
          <w:rStyle w:val="EndnoteReference"/>
          <w:rFonts w:ascii="Century Schoolbook" w:hAnsi="Century Schoolbook"/>
          <w:color w:val="253F90"/>
        </w:rPr>
        <w:t xml:space="preserve"> </w:t>
      </w:r>
      <w:r w:rsidRPr="00615DB3">
        <w:rPr>
          <w:rStyle w:val="EndnoteReference"/>
          <w:rFonts w:ascii="Century Schoolbook" w:hAnsi="Century Schoolbook"/>
          <w:color w:val="253F90"/>
        </w:rPr>
        <w:endnoteReference w:id="2"/>
      </w:r>
      <w:r w:rsidRPr="00615DB3">
        <w:rPr>
          <w:rFonts w:ascii="Century Schoolbook" w:hAnsi="Century Schoolbook"/>
          <w:color w:val="253F90"/>
        </w:rPr>
        <w:t xml:space="preserve"> Terrorism can happen anywhere in the world. It is a very difficult concept to define because of the political and emotional discrimination and because different groups and governments can have very different ideas about what actions can be considered terrorism as well as who is and who is not a terrorist. </w:t>
      </w:r>
    </w:p>
    <w:p w:rsidR="00615DB3" w:rsidRPr="00615DB3" w:rsidRDefault="00615DB3" w:rsidP="00615DB3">
      <w:pPr>
        <w:pStyle w:val="Sub-SectionHeader"/>
      </w:pPr>
      <w:r w:rsidRPr="00615DB3">
        <w:t>definitiON of terrorism</w:t>
      </w:r>
    </w:p>
    <w:p w:rsidR="00615DB3" w:rsidRPr="00615DB3" w:rsidRDefault="00C7351C" w:rsidP="00615DB3">
      <w:pPr>
        <w:rPr>
          <w:rFonts w:ascii="Century Schoolbook" w:hAnsi="Century Schoolbook"/>
          <w:color w:val="253F90"/>
        </w:rPr>
      </w:pPr>
      <w:r>
        <w:rPr>
          <w:rFonts w:ascii="Century Schoolbook" w:hAnsi="Century Schoolbook"/>
          <w:noProof/>
          <w:color w:val="253F90"/>
        </w:rPr>
        <w:pict>
          <v:group id="_x0000_s1057" style="position:absolute;margin-left:279.65pt;margin-top:106.6pt;width:256.5pt;height:187.5pt;z-index:251658240" coordorigin="5306,5343" coordsize="4380,4380">
            <v:roundrect id="_x0000_s1058" style="position:absolute;left:5306;top:5343;width:4380;height:4380" arcsize="4724f" fillcolor="#ebeff5" stroked="f">
              <v:textbox style="mso-next-textbox:#_x0000_s1058">
                <w:txbxContent>
                  <w:p w:rsidR="00615DB3" w:rsidRDefault="00615DB3" w:rsidP="00615DB3">
                    <w:r>
                      <w:rPr>
                        <w:noProof/>
                      </w:rPr>
                      <w:drawing>
                        <wp:inline distT="0" distB="0" distL="0" distR="0">
                          <wp:extent cx="2952750" cy="1731645"/>
                          <wp:effectExtent l="19050" t="0" r="0" b="0"/>
                          <wp:docPr id="1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2957830" cy="1734624"/>
                                  </a:xfrm>
                                  <a:prstGeom prst="rect">
                                    <a:avLst/>
                                  </a:prstGeom>
                                  <a:noFill/>
                                  <a:ln w="9525">
                                    <a:noFill/>
                                    <a:miter lim="800000"/>
                                    <a:headEnd/>
                                    <a:tailEnd/>
                                  </a:ln>
                                </pic:spPr>
                              </pic:pic>
                            </a:graphicData>
                          </a:graphic>
                        </wp:inline>
                      </w:drawing>
                    </w:r>
                  </w:p>
                  <w:p w:rsidR="00615DB3" w:rsidRPr="005A3446" w:rsidRDefault="00615DB3" w:rsidP="00615DB3">
                    <w:pPr>
                      <w:pStyle w:val="Footnotes"/>
                    </w:pPr>
                    <w:r>
                      <w:t>Almost 200 people were killed in the Madrid train bombings in 2004.</w:t>
                    </w:r>
                    <w:r w:rsidRPr="003428A9">
                      <w:rPr>
                        <w:vertAlign w:val="superscript"/>
                      </w:rPr>
                      <w:t>ii</w:t>
                    </w:r>
                  </w:p>
                </w:txbxContent>
              </v:textbox>
            </v:roundrect>
            <v:shapetype id="_x0000_t32" coordsize="21600,21600" o:spt="32" o:oned="t" path="m,l21600,21600e" filled="f">
              <v:path arrowok="t" fillok="f" o:connecttype="none"/>
              <o:lock v:ext="edit" shapetype="t"/>
            </v:shapetype>
            <v:shape id="_x0000_s1059" type="#_x0000_t32" style="position:absolute;left:5306;top:9046;width:4380;height:0" o:connectortype="straight" stroked="f" strokecolor="#365f91 [2404]" strokeweight="1.5pt"/>
            <w10:wrap type="square"/>
          </v:group>
        </w:pict>
      </w:r>
      <w:r w:rsidR="00615DB3" w:rsidRPr="00615DB3">
        <w:rPr>
          <w:rFonts w:ascii="Century Schoolbook" w:hAnsi="Century Schoolbook"/>
          <w:color w:val="253F90"/>
        </w:rPr>
        <w:t xml:space="preserve"> The term “terrorism” is so conversional that it doesn’t have an agreed-upon definition among countries, or even the United Nations. However, most governments, scholars and the UN agree that the objective of terrorist organizations is to achieve “social reform and political change”</w:t>
      </w:r>
      <w:r w:rsidR="00615DB3" w:rsidRPr="00615DB3">
        <w:rPr>
          <w:rStyle w:val="EndnoteReference"/>
          <w:rFonts w:ascii="Century Schoolbook" w:hAnsi="Century Schoolbook"/>
          <w:color w:val="253F90"/>
        </w:rPr>
        <w:endnoteReference w:id="3"/>
      </w:r>
      <w:r w:rsidR="00615DB3" w:rsidRPr="00615DB3">
        <w:rPr>
          <w:rFonts w:ascii="Century Schoolbook" w:hAnsi="Century Schoolbook"/>
          <w:color w:val="253F90"/>
        </w:rPr>
        <w:t xml:space="preserve"> by creating fear within the public. Terrorists may have political (e.g. the Irish Republican Army), ideological (e.g. Animal Liberation Front, Earth Liberation Front) and/or religious (e.g. al-Qaeda, Hezbollah) motivations. They could also be seeking revenge and retaliation on the government.</w:t>
      </w:r>
      <w:r w:rsidR="00615DB3" w:rsidRPr="00615DB3">
        <w:rPr>
          <w:rStyle w:val="EndnoteReference"/>
          <w:rFonts w:ascii="Century Schoolbook" w:hAnsi="Century Schoolbook"/>
          <w:color w:val="253F90"/>
        </w:rPr>
        <w:t xml:space="preserve"> </w:t>
      </w:r>
      <w:r w:rsidR="00615DB3" w:rsidRPr="00615DB3">
        <w:rPr>
          <w:rStyle w:val="EndnoteReference"/>
          <w:rFonts w:ascii="Century Schoolbook" w:hAnsi="Century Schoolbook"/>
          <w:color w:val="253F90"/>
        </w:rPr>
        <w:endnoteReference w:id="4"/>
      </w:r>
      <w:r w:rsidR="00615DB3" w:rsidRPr="00615DB3">
        <w:rPr>
          <w:rFonts w:ascii="Century Schoolbook" w:hAnsi="Century Schoolbook"/>
          <w:color w:val="253F90"/>
        </w:rPr>
        <w:t xml:space="preserve"> </w:t>
      </w:r>
    </w:p>
    <w:p w:rsidR="00615DB3" w:rsidRPr="00615DB3" w:rsidRDefault="00615DB3" w:rsidP="00615DB3">
      <w:pPr>
        <w:rPr>
          <w:rFonts w:ascii="Century Schoolbook" w:hAnsi="Century Schoolbook"/>
          <w:color w:val="253F90"/>
        </w:rPr>
      </w:pPr>
      <w:r w:rsidRPr="00615DB3">
        <w:rPr>
          <w:rFonts w:ascii="Century Schoolbook" w:hAnsi="Century Schoolbook"/>
          <w:color w:val="253F90"/>
        </w:rPr>
        <w:t xml:space="preserve">The United Nations, in its resolution 65/34 </w:t>
      </w:r>
      <w:r w:rsidRPr="00615DB3">
        <w:rPr>
          <w:rFonts w:ascii="Century Schoolbook" w:hAnsi="Century Schoolbook"/>
          <w:i/>
          <w:color w:val="253F90"/>
        </w:rPr>
        <w:t>Measures to eliminate international terrorism</w:t>
      </w:r>
      <w:r w:rsidRPr="00615DB3">
        <w:rPr>
          <w:rFonts w:ascii="Century Schoolbook" w:hAnsi="Century Schoolbook"/>
          <w:color w:val="253F90"/>
        </w:rPr>
        <w:t xml:space="preserve"> (2011), “reiterates that criminal acts intended or calculated to provoke a state of terror in the general public, a group of persons or particular persons for political purposes are in any circumstance unjustifiable, whatever the considerations of a political, philosophical, ideological, racial, ethnic, religious or other nature that may be invoked to justify them.”</w:t>
      </w:r>
      <w:r w:rsidRPr="00615DB3">
        <w:rPr>
          <w:rStyle w:val="EndnoteReference"/>
          <w:rFonts w:ascii="Century Schoolbook" w:hAnsi="Century Schoolbook"/>
          <w:color w:val="253F90"/>
        </w:rPr>
        <w:endnoteReference w:id="5"/>
      </w:r>
      <w:r w:rsidRPr="00615DB3">
        <w:rPr>
          <w:rFonts w:ascii="Century Schoolbook" w:hAnsi="Century Schoolbook"/>
          <w:color w:val="253F90"/>
        </w:rPr>
        <w:t xml:space="preserve"> The United Nations has zero tolerance for non-state actors and has sought ways to stop nations from giving security, money or weapons to terrorist organizations. The goal of an organization often determines its status as a terrorist group, however that is difficult to identify without analyzing a specific attack and the methods used to accomplish that goal. </w:t>
      </w:r>
    </w:p>
    <w:p w:rsidR="00615DB3" w:rsidRPr="00615DB3" w:rsidRDefault="00615DB3" w:rsidP="00615DB3">
      <w:pPr>
        <w:pStyle w:val="Sub-SectionHeader"/>
      </w:pPr>
      <w:r w:rsidRPr="00615DB3">
        <w:t>methods of operation</w:t>
      </w:r>
    </w:p>
    <w:p w:rsidR="00615DB3" w:rsidRPr="00615DB3" w:rsidRDefault="00615DB3" w:rsidP="00615DB3">
      <w:pPr>
        <w:rPr>
          <w:rFonts w:ascii="Century Schoolbook" w:hAnsi="Century Schoolbook"/>
          <w:color w:val="253F90"/>
        </w:rPr>
      </w:pPr>
      <w:r w:rsidRPr="00615DB3">
        <w:rPr>
          <w:rFonts w:ascii="Century Schoolbook" w:hAnsi="Century Schoolbook"/>
          <w:color w:val="253F90"/>
        </w:rPr>
        <w:t>Terrorists try to achieve their goals by extreme means ranging from threats to actual bombings and assassinations, to intimidate, coerce, and create fear among the public. Because most terrorist groups have a relatively small number of members, limited weapons, and comparatively few organizational resources, they rely on dramatic and devastating acts of violence to attract attention to their cause.</w:t>
      </w:r>
      <w:r w:rsidRPr="00615DB3">
        <w:rPr>
          <w:rStyle w:val="EndnoteReference"/>
          <w:rFonts w:ascii="Century Schoolbook" w:hAnsi="Century Schoolbook"/>
          <w:color w:val="253F90"/>
        </w:rPr>
        <w:t xml:space="preserve"> </w:t>
      </w:r>
      <w:r w:rsidRPr="00615DB3">
        <w:rPr>
          <w:rStyle w:val="EndnoteReference"/>
          <w:rFonts w:ascii="Century Schoolbook" w:hAnsi="Century Schoolbook"/>
          <w:color w:val="253F90"/>
        </w:rPr>
        <w:endnoteReference w:id="6"/>
      </w:r>
      <w:r w:rsidRPr="00615DB3">
        <w:rPr>
          <w:rFonts w:ascii="Century Schoolbook" w:hAnsi="Century Schoolbook"/>
          <w:color w:val="253F90"/>
        </w:rPr>
        <w:t xml:space="preserve"> The instant publicity from these attacks gives them the power and influence that they otherwise lack.</w:t>
      </w:r>
      <w:r w:rsidRPr="00615DB3">
        <w:rPr>
          <w:rStyle w:val="EndnoteReference"/>
          <w:rFonts w:ascii="Century Schoolbook" w:hAnsi="Century Schoolbook"/>
          <w:color w:val="253F90"/>
        </w:rPr>
        <w:t xml:space="preserve"> </w:t>
      </w:r>
      <w:r w:rsidRPr="00615DB3">
        <w:rPr>
          <w:rStyle w:val="EndnoteReference"/>
          <w:rFonts w:ascii="Century Schoolbook" w:hAnsi="Century Schoolbook"/>
          <w:color w:val="253F90"/>
        </w:rPr>
        <w:endnoteReference w:id="7"/>
      </w:r>
      <w:r w:rsidRPr="00615DB3">
        <w:rPr>
          <w:rFonts w:ascii="Century Schoolbook" w:hAnsi="Century Schoolbook"/>
          <w:color w:val="253F90"/>
        </w:rPr>
        <w:t xml:space="preserve"> </w:t>
      </w:r>
    </w:p>
    <w:p w:rsidR="00615DB3" w:rsidRPr="00615DB3" w:rsidRDefault="00615DB3" w:rsidP="00615DB3">
      <w:pPr>
        <w:rPr>
          <w:rFonts w:ascii="Century Schoolbook" w:hAnsi="Century Schoolbook"/>
          <w:color w:val="253F90"/>
        </w:rPr>
      </w:pPr>
      <w:r w:rsidRPr="00615DB3">
        <w:rPr>
          <w:rFonts w:ascii="Century Schoolbook" w:hAnsi="Century Schoolbook"/>
          <w:color w:val="253F90"/>
        </w:rPr>
        <w:t xml:space="preserve">Some of the tactics that terrorist use include, but are not limited to: airline hijackings, suicide bombings, car bombs, building explosions, assassinations and kidnappings, mailings of explosive, chemical or biological and </w:t>
      </w:r>
      <w:r w:rsidRPr="00615DB3">
        <w:rPr>
          <w:rFonts w:ascii="Century Schoolbook" w:hAnsi="Century Schoolbook"/>
          <w:b/>
          <w:color w:val="253F90"/>
        </w:rPr>
        <w:t>agro-terrorism</w:t>
      </w:r>
      <w:r w:rsidRPr="00615DB3">
        <w:rPr>
          <w:rStyle w:val="FootnoteReference"/>
          <w:rFonts w:ascii="Century Schoolbook" w:hAnsi="Century Schoolbook"/>
          <w:color w:val="253F90"/>
        </w:rPr>
        <w:footnoteReference w:id="2"/>
      </w:r>
      <w:r w:rsidRPr="00615DB3">
        <w:rPr>
          <w:rFonts w:ascii="Century Schoolbook" w:hAnsi="Century Schoolbook"/>
          <w:color w:val="253F90"/>
        </w:rPr>
        <w:t>.</w:t>
      </w:r>
      <w:r w:rsidRPr="00615DB3">
        <w:rPr>
          <w:rStyle w:val="EndnoteReference"/>
          <w:rFonts w:ascii="Century Schoolbook" w:hAnsi="Century Schoolbook"/>
          <w:color w:val="253F90"/>
        </w:rPr>
        <w:t xml:space="preserve"> </w:t>
      </w:r>
      <w:r w:rsidRPr="00615DB3">
        <w:rPr>
          <w:rStyle w:val="EndnoteReference"/>
          <w:rFonts w:ascii="Century Schoolbook" w:hAnsi="Century Schoolbook"/>
          <w:color w:val="253F90"/>
        </w:rPr>
        <w:endnoteReference w:id="8"/>
      </w:r>
      <w:r w:rsidRPr="00615DB3">
        <w:rPr>
          <w:rFonts w:ascii="Century Schoolbook" w:hAnsi="Century Schoolbook"/>
          <w:color w:val="253F90"/>
        </w:rPr>
        <w:t xml:space="preserve">  Terrorists may also be able to wreck havoc on a population through </w:t>
      </w:r>
      <w:r w:rsidRPr="00615DB3">
        <w:rPr>
          <w:rFonts w:ascii="Century Schoolbook" w:hAnsi="Century Schoolbook"/>
          <w:color w:val="253F90"/>
        </w:rPr>
        <w:lastRenderedPageBreak/>
        <w:t xml:space="preserve">computer-based attacks such as viruses or hacking into sensitive information. Terrorists also may use chemical, biological, radiological and nuclear (CBRN) weapons or even </w:t>
      </w:r>
      <w:r w:rsidRPr="00615DB3">
        <w:rPr>
          <w:rFonts w:ascii="Century Schoolbook" w:hAnsi="Century Schoolbook"/>
          <w:b/>
          <w:color w:val="253F90"/>
        </w:rPr>
        <w:t>weapons of mass destruction</w:t>
      </w:r>
      <w:r w:rsidRPr="00615DB3">
        <w:rPr>
          <w:rFonts w:ascii="Century Schoolbook" w:hAnsi="Century Schoolbook"/>
          <w:color w:val="253F90"/>
        </w:rPr>
        <w:t xml:space="preserve"> (WMD)</w:t>
      </w:r>
      <w:r w:rsidRPr="00615DB3">
        <w:rPr>
          <w:rStyle w:val="FootnoteReference"/>
          <w:rFonts w:ascii="Century Schoolbook" w:hAnsi="Century Schoolbook"/>
          <w:color w:val="253F90"/>
        </w:rPr>
        <w:footnoteReference w:id="3"/>
      </w:r>
      <w:r w:rsidRPr="00615DB3">
        <w:rPr>
          <w:rStyle w:val="EndnoteReference"/>
          <w:rFonts w:ascii="Century Schoolbook" w:hAnsi="Century Schoolbook"/>
          <w:color w:val="253F90"/>
        </w:rPr>
        <w:t xml:space="preserve">, </w:t>
      </w:r>
      <w:r w:rsidRPr="00615DB3">
        <w:rPr>
          <w:rStyle w:val="EndnoteReference"/>
          <w:rFonts w:ascii="Century Schoolbook" w:hAnsi="Century Schoolbook"/>
          <w:color w:val="253F90"/>
        </w:rPr>
        <w:endnoteReference w:id="9"/>
      </w:r>
      <w:r w:rsidRPr="00615DB3">
        <w:rPr>
          <w:rStyle w:val="EndnoteReference"/>
          <w:rFonts w:ascii="Century Schoolbook" w:hAnsi="Century Schoolbook"/>
          <w:color w:val="253F90"/>
        </w:rPr>
        <w:t xml:space="preserve"> </w:t>
      </w:r>
      <w:r w:rsidRPr="00615DB3">
        <w:rPr>
          <w:rFonts w:ascii="Century Schoolbook" w:hAnsi="Century Schoolbook"/>
          <w:color w:val="253F90"/>
        </w:rPr>
        <w:t>although some experts argue that this method is unconventional and unlikely because of their limited resources.</w:t>
      </w:r>
      <w:r w:rsidRPr="00615DB3">
        <w:rPr>
          <w:rStyle w:val="EndnoteReference"/>
          <w:rFonts w:ascii="Century Schoolbook" w:hAnsi="Century Schoolbook"/>
          <w:color w:val="253F90"/>
        </w:rPr>
        <w:t xml:space="preserve"> </w:t>
      </w:r>
      <w:r w:rsidRPr="00615DB3">
        <w:rPr>
          <w:rStyle w:val="EndnoteReference"/>
          <w:rFonts w:ascii="Century Schoolbook" w:hAnsi="Century Schoolbook"/>
          <w:color w:val="253F90"/>
        </w:rPr>
        <w:endnoteReference w:id="10"/>
      </w:r>
      <w:r w:rsidRPr="00615DB3">
        <w:rPr>
          <w:rFonts w:ascii="Century Schoolbook" w:hAnsi="Century Schoolbook"/>
          <w:color w:val="253F90"/>
        </w:rPr>
        <w:t xml:space="preserve"> </w:t>
      </w:r>
    </w:p>
    <w:p w:rsidR="00615DB3" w:rsidRPr="00615DB3" w:rsidRDefault="00615DB3" w:rsidP="00615DB3">
      <w:pPr>
        <w:rPr>
          <w:rFonts w:ascii="Futura Lt BT" w:hAnsi="Futura Lt BT"/>
        </w:rPr>
      </w:pPr>
      <w:r w:rsidRPr="00615DB3">
        <w:rPr>
          <w:rFonts w:ascii="Century Schoolbook" w:hAnsi="Century Schoolbook"/>
          <w:color w:val="253F90"/>
        </w:rPr>
        <w:t>Terrorists choose their targets very strategically, because their goal is to intimidate a large group of people, such as an ethnic or religious enemy, an entire country, or the international community.</w:t>
      </w:r>
      <w:r w:rsidRPr="00615DB3">
        <w:rPr>
          <w:rStyle w:val="EndnoteReference"/>
          <w:rFonts w:ascii="Century Schoolbook" w:hAnsi="Century Schoolbook"/>
          <w:color w:val="253F90"/>
        </w:rPr>
        <w:t xml:space="preserve"> </w:t>
      </w:r>
      <w:r w:rsidRPr="00615DB3">
        <w:rPr>
          <w:rStyle w:val="EndnoteReference"/>
          <w:rFonts w:ascii="Century Schoolbook" w:hAnsi="Century Schoolbook"/>
          <w:color w:val="253F90"/>
        </w:rPr>
        <w:endnoteReference w:id="11"/>
      </w:r>
      <w:r w:rsidRPr="00615DB3">
        <w:rPr>
          <w:rFonts w:ascii="Century Schoolbook" w:hAnsi="Century Schoolbook"/>
          <w:color w:val="253F90"/>
        </w:rPr>
        <w:t xml:space="preserve"> The psychological effects of terrorism have an important impact on many more people than just the immediate victims of an attack.</w:t>
      </w:r>
      <w:r w:rsidRPr="00615DB3">
        <w:rPr>
          <w:rStyle w:val="EndnoteReference"/>
          <w:rFonts w:ascii="Century Schoolbook" w:hAnsi="Century Schoolbook"/>
          <w:color w:val="253F90"/>
        </w:rPr>
        <w:t xml:space="preserve"> </w:t>
      </w:r>
      <w:r w:rsidRPr="00615DB3">
        <w:rPr>
          <w:rStyle w:val="EndnoteReference"/>
          <w:rFonts w:ascii="Century Schoolbook" w:hAnsi="Century Schoolbook"/>
          <w:color w:val="253F90"/>
        </w:rPr>
        <w:endnoteReference w:id="12"/>
      </w:r>
      <w:r w:rsidRPr="00615DB3">
        <w:rPr>
          <w:rFonts w:ascii="Century Schoolbook" w:hAnsi="Century Schoolbook"/>
          <w:color w:val="253F90"/>
        </w:rPr>
        <w:t xml:space="preserve"> The most common targets of terrorists are busy, public places that would attract a lot of attention and cause massive causalities, such as urban transportation centers, international airports, religious institutions, financial centers (like banks), government buildings or high-profile landmarks.</w:t>
      </w:r>
      <w:r w:rsidRPr="00615DB3">
        <w:rPr>
          <w:rFonts w:ascii="Futura Lt BT" w:hAnsi="Futura Lt BT"/>
        </w:rPr>
        <w:t xml:space="preserve"> </w:t>
      </w:r>
    </w:p>
    <w:p w:rsidR="00615DB3" w:rsidRPr="00615DB3" w:rsidRDefault="00615DB3" w:rsidP="00615DB3">
      <w:pPr>
        <w:pStyle w:val="Style1"/>
      </w:pPr>
      <w:r w:rsidRPr="00615DB3">
        <w:t>HUMAN RIGHTS VIOLATION</w:t>
      </w:r>
    </w:p>
    <w:p w:rsidR="00615DB3" w:rsidRPr="00615DB3" w:rsidRDefault="00615DB3" w:rsidP="00615DB3">
      <w:pPr>
        <w:rPr>
          <w:rFonts w:ascii="Century Schoolbook" w:hAnsi="Century Schoolbook"/>
          <w:color w:val="253F90"/>
        </w:rPr>
      </w:pPr>
      <w:r w:rsidRPr="00615DB3">
        <w:rPr>
          <w:rFonts w:ascii="Century Schoolbook" w:hAnsi="Century Schoolbook"/>
          <w:color w:val="253F90"/>
        </w:rPr>
        <w:t>Terrorism has a direct and serious impact on human rights, for both its victims and perpetrators, in both acts of terrorism and counterterrorism. Firstly, acts of terrorism on innocent people pose a threat to the fundamental freedoms that all individuals and groups should be able to enjoy, including civil, cultural, economic, political and social rights.</w:t>
      </w:r>
      <w:r w:rsidRPr="00615DB3">
        <w:rPr>
          <w:rStyle w:val="EndnoteReference"/>
          <w:rFonts w:ascii="Century Schoolbook" w:hAnsi="Century Schoolbook"/>
          <w:color w:val="253F90"/>
        </w:rPr>
        <w:t xml:space="preserve"> </w:t>
      </w:r>
      <w:r w:rsidRPr="00615DB3">
        <w:rPr>
          <w:rStyle w:val="EndnoteReference"/>
          <w:rFonts w:ascii="Century Schoolbook" w:hAnsi="Century Schoolbook"/>
          <w:color w:val="253F90"/>
        </w:rPr>
        <w:endnoteReference w:id="13"/>
      </w:r>
      <w:r w:rsidRPr="00615DB3">
        <w:rPr>
          <w:rFonts w:ascii="Century Schoolbook" w:hAnsi="Century Schoolbook"/>
          <w:color w:val="253F90"/>
        </w:rPr>
        <w:t xml:space="preserve"> Terrorism also fuels racist sentiments among groups of victims against those who are of the same ethnicity, nationality or religion as the terrorists. This type of discrimination contributes to hate crimes against different groups of people. </w:t>
      </w:r>
    </w:p>
    <w:p w:rsidR="00615DB3" w:rsidRPr="00615DB3" w:rsidRDefault="00615DB3" w:rsidP="00615DB3">
      <w:pPr>
        <w:rPr>
          <w:rFonts w:ascii="Century Schoolbook" w:hAnsi="Century Schoolbook"/>
          <w:color w:val="253F90"/>
        </w:rPr>
      </w:pPr>
      <w:r w:rsidRPr="00615DB3">
        <w:rPr>
          <w:rFonts w:ascii="Century Schoolbook" w:hAnsi="Century Schoolbook"/>
          <w:color w:val="253F90"/>
        </w:rPr>
        <w:t>Moreover, to combating international terrorism governments have imposed laws that limit the freedoms of certain groups and the rights of people. Non-governmental organizations such as Amnesty International</w:t>
      </w:r>
      <w:r w:rsidRPr="00615DB3">
        <w:rPr>
          <w:rStyle w:val="EndnoteReference"/>
          <w:rFonts w:ascii="Century Schoolbook" w:hAnsi="Century Schoolbook"/>
          <w:color w:val="253F90"/>
        </w:rPr>
        <w:endnoteReference w:id="14"/>
      </w:r>
      <w:r w:rsidRPr="00615DB3">
        <w:rPr>
          <w:rFonts w:ascii="Century Schoolbook" w:hAnsi="Century Schoolbook"/>
          <w:color w:val="253F90"/>
        </w:rPr>
        <w:t xml:space="preserve"> have condemned such governments for eroding the freedoms of their people. A major debate is how to protect citizens and maintain the rights and privacy of individuals. An example of this debate is the ongoing controversy in the United States over the passage of the Patriot Act in October 2001.</w:t>
      </w:r>
    </w:p>
    <w:p w:rsidR="00615DB3" w:rsidRPr="00615DB3" w:rsidRDefault="00615DB3" w:rsidP="00615DB3">
      <w:pPr>
        <w:rPr>
          <w:rFonts w:ascii="Century Schoolbook" w:hAnsi="Century Schoolbook"/>
          <w:color w:val="253F90"/>
        </w:rPr>
      </w:pPr>
      <w:r w:rsidRPr="00615DB3">
        <w:rPr>
          <w:rFonts w:ascii="Century Schoolbook" w:hAnsi="Century Schoolbook"/>
          <w:color w:val="253F90"/>
        </w:rPr>
        <w:t xml:space="preserve">Human rights abuses and torture have also been reported in Guantánamo Bay detention camp, located within the U.S. Naval Base in Cuba, where suspected terrorists from the war in Afghanistan and Iraq are held. The camp, which opened in 2002, has been highly controversial not only in its treatment of detainees, but also in its detention of individuals without charging them with a crime. Efforts have been made by the Obama Administration to close Guantanamo Bay and release the prisoners or charge them with a crime and put them on trial. </w:t>
      </w:r>
    </w:p>
    <w:p w:rsidR="00615DB3" w:rsidRPr="00615DB3" w:rsidRDefault="00615DB3" w:rsidP="00615DB3">
      <w:pPr>
        <w:rPr>
          <w:rFonts w:ascii="Century Schoolbook" w:hAnsi="Century Schoolbook"/>
          <w:color w:val="253F90"/>
        </w:rPr>
      </w:pPr>
      <w:r w:rsidRPr="00615DB3">
        <w:rPr>
          <w:rFonts w:ascii="Century Schoolbook" w:hAnsi="Century Schoolbook"/>
          <w:color w:val="253F90"/>
        </w:rPr>
        <w:t>Currently, there are 171 detainees at “Gitmo” and 80 of them have been identified for release. Others will be sent to trial, while the remaining 48 detainees are going to be held indefinitely because there is not enough evidence to try them and the United States believes they are too dangerous to be released. There have been talks about transferring these detainees as part of a broader negotiation strategy, but U.S. officials are still weighing their options.</w:t>
      </w:r>
    </w:p>
    <w:p w:rsidR="00615DB3" w:rsidRDefault="00615DB3" w:rsidP="00615DB3"/>
    <w:p w:rsidR="00615DB3" w:rsidRPr="00615DB3" w:rsidRDefault="00615DB3" w:rsidP="00615DB3">
      <w:pPr>
        <w:rPr>
          <w:b/>
          <w:color w:val="253F90"/>
        </w:rPr>
      </w:pPr>
    </w:p>
    <w:p w:rsidR="00173BFA" w:rsidRPr="00173BFA" w:rsidRDefault="00173BFA" w:rsidP="00173BFA">
      <w:pPr>
        <w:pStyle w:val="ListParagraph"/>
        <w:spacing w:after="0"/>
        <w:jc w:val="both"/>
        <w:rPr>
          <w:rFonts w:ascii="Century Schoolbook" w:hAnsi="Century Schoolbook"/>
          <w:color w:val="253F90"/>
        </w:rPr>
      </w:pPr>
    </w:p>
    <w:sectPr w:rsidR="00173BFA" w:rsidRPr="00173BFA" w:rsidSect="0008071F">
      <w:headerReference w:type="first" r:id="rId9"/>
      <w:pgSz w:w="12240" w:h="15840"/>
      <w:pgMar w:top="720" w:right="720" w:bottom="360"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2AF5" w:rsidRDefault="00DD2AF5" w:rsidP="00192AEB">
      <w:pPr>
        <w:pStyle w:val="Header"/>
      </w:pPr>
      <w:r>
        <w:separator/>
      </w:r>
    </w:p>
  </w:endnote>
  <w:endnote w:type="continuationSeparator" w:id="0">
    <w:p w:rsidR="00DD2AF5" w:rsidRDefault="00DD2AF5" w:rsidP="00192AEB">
      <w:pPr>
        <w:pStyle w:val="Header"/>
      </w:pPr>
      <w:r>
        <w:continuationSeparator/>
      </w:r>
    </w:p>
  </w:endnote>
  <w:endnote w:id="1">
    <w:p w:rsidR="00615DB3" w:rsidRPr="00615DB3" w:rsidRDefault="00615DB3" w:rsidP="00615DB3">
      <w:pPr>
        <w:pStyle w:val="Footnotes"/>
        <w:rPr>
          <w:sz w:val="18"/>
        </w:rPr>
      </w:pPr>
      <w:r w:rsidRPr="00615DB3">
        <w:rPr>
          <w:rStyle w:val="EndnoteReference"/>
          <w:sz w:val="18"/>
        </w:rPr>
        <w:endnoteRef/>
      </w:r>
      <w:r w:rsidRPr="00615DB3">
        <w:rPr>
          <w:sz w:val="18"/>
        </w:rPr>
        <w:t xml:space="preserve"> Annan, Kofi. “Uniting against Terrorism: Recommendations for a Global Counter-Terrorism Strategy” 27 April 2006. &lt;</w:t>
      </w:r>
      <w:hyperlink r:id="rId1" w:history="1">
        <w:r w:rsidRPr="00615DB3">
          <w:rPr>
            <w:rStyle w:val="Hyperlink"/>
            <w:color w:val="253F90"/>
            <w:sz w:val="18"/>
          </w:rPr>
          <w:t>http://www.un.org/unitingagainstterrorism/</w:t>
        </w:r>
      </w:hyperlink>
      <w:r w:rsidRPr="00615DB3">
        <w:rPr>
          <w:sz w:val="18"/>
        </w:rPr>
        <w:t xml:space="preserve">&gt; </w:t>
      </w:r>
    </w:p>
  </w:endnote>
  <w:endnote w:id="2">
    <w:p w:rsidR="00615DB3" w:rsidRPr="00615DB3" w:rsidRDefault="00615DB3" w:rsidP="00615DB3">
      <w:pPr>
        <w:pStyle w:val="EndnoteText"/>
        <w:rPr>
          <w:rFonts w:ascii="Futura Lt BT" w:hAnsi="Futura Lt BT"/>
          <w:color w:val="253F90"/>
          <w:sz w:val="18"/>
        </w:rPr>
      </w:pPr>
      <w:r w:rsidRPr="00615DB3">
        <w:rPr>
          <w:rStyle w:val="EndnoteReference"/>
          <w:rFonts w:ascii="Futura Lt BT" w:hAnsi="Futura Lt BT"/>
          <w:color w:val="253F90"/>
          <w:sz w:val="18"/>
        </w:rPr>
        <w:endnoteRef/>
      </w:r>
      <w:r w:rsidRPr="00615DB3">
        <w:rPr>
          <w:rFonts w:ascii="Futura Lt BT" w:hAnsi="Futura Lt BT"/>
          <w:color w:val="253F90"/>
          <w:sz w:val="18"/>
        </w:rPr>
        <w:t xml:space="preserve"> Photo Credit: </w:t>
      </w:r>
      <w:r w:rsidRPr="00615DB3">
        <w:rPr>
          <w:rFonts w:ascii="Futura Lt BT" w:hAnsi="Futura Lt BT"/>
          <w:i/>
          <w:color w:val="253F90"/>
          <w:sz w:val="18"/>
        </w:rPr>
        <w:t>The Guardian</w:t>
      </w:r>
    </w:p>
  </w:endnote>
  <w:endnote w:id="3">
    <w:p w:rsidR="00615DB3" w:rsidRPr="00615DB3" w:rsidRDefault="00615DB3" w:rsidP="00615DB3">
      <w:pPr>
        <w:pStyle w:val="Footnotes"/>
        <w:rPr>
          <w:sz w:val="18"/>
        </w:rPr>
      </w:pPr>
      <w:r w:rsidRPr="00615DB3">
        <w:rPr>
          <w:rStyle w:val="EndnoteReference"/>
          <w:sz w:val="18"/>
        </w:rPr>
        <w:endnoteRef/>
      </w:r>
      <w:r w:rsidRPr="00615DB3">
        <w:rPr>
          <w:sz w:val="18"/>
        </w:rPr>
        <w:t xml:space="preserve"> Gorman, Fitzalan C. “Non-State Actors, Terrorism and the United Nations.” Virginia Polytechnic Institute and State University. 13 April 2009. PDF.</w:t>
      </w:r>
    </w:p>
  </w:endnote>
  <w:endnote w:id="4">
    <w:p w:rsidR="00615DB3" w:rsidRPr="00615DB3" w:rsidRDefault="00615DB3" w:rsidP="00615DB3">
      <w:pPr>
        <w:pStyle w:val="Footnotes"/>
        <w:rPr>
          <w:sz w:val="18"/>
        </w:rPr>
      </w:pPr>
      <w:r w:rsidRPr="00615DB3">
        <w:rPr>
          <w:rStyle w:val="EndnoteReference"/>
          <w:sz w:val="18"/>
        </w:rPr>
        <w:endnoteRef/>
      </w:r>
      <w:r w:rsidRPr="00615DB3">
        <w:rPr>
          <w:sz w:val="18"/>
        </w:rPr>
        <w:t xml:space="preserve"> Englehart, Neil and Charles Kurzman. “Welcome to World Peace.” </w:t>
      </w:r>
      <w:r w:rsidRPr="00615DB3">
        <w:rPr>
          <w:i/>
          <w:sz w:val="18"/>
        </w:rPr>
        <w:t>Social Forces</w:t>
      </w:r>
      <w:r w:rsidRPr="00615DB3">
        <w:rPr>
          <w:sz w:val="18"/>
        </w:rPr>
        <w:t>. 4 June 2006. PDF.</w:t>
      </w:r>
    </w:p>
  </w:endnote>
  <w:endnote w:id="5">
    <w:p w:rsidR="00615DB3" w:rsidRPr="00615DB3" w:rsidRDefault="00615DB3" w:rsidP="00615DB3">
      <w:pPr>
        <w:pStyle w:val="Footnotes"/>
        <w:rPr>
          <w:sz w:val="18"/>
        </w:rPr>
      </w:pPr>
      <w:r w:rsidRPr="00615DB3">
        <w:rPr>
          <w:rStyle w:val="EndnoteReference"/>
          <w:sz w:val="18"/>
        </w:rPr>
        <w:endnoteRef/>
      </w:r>
      <w:r w:rsidRPr="00615DB3">
        <w:rPr>
          <w:sz w:val="18"/>
        </w:rPr>
        <w:t xml:space="preserve"> United Nations General Assembly. A/RES/65/34: Measures to eliminate international terrorism. 10 January 2011. &lt;</w:t>
      </w:r>
      <w:hyperlink r:id="rId2" w:history="1">
        <w:r w:rsidRPr="00615DB3">
          <w:rPr>
            <w:rStyle w:val="Hyperlink"/>
            <w:color w:val="253F90"/>
            <w:sz w:val="18"/>
          </w:rPr>
          <w:t>http://www.un.org/ga/search/view_doc.asp?symbol=A/RES/65/34</w:t>
        </w:r>
      </w:hyperlink>
      <w:r w:rsidRPr="00615DB3">
        <w:rPr>
          <w:sz w:val="18"/>
        </w:rPr>
        <w:t xml:space="preserve">&gt; </w:t>
      </w:r>
    </w:p>
  </w:endnote>
  <w:endnote w:id="6">
    <w:p w:rsidR="00615DB3" w:rsidRPr="00615DB3" w:rsidRDefault="00615DB3" w:rsidP="00615DB3">
      <w:pPr>
        <w:pStyle w:val="Footnotes"/>
        <w:rPr>
          <w:sz w:val="18"/>
        </w:rPr>
      </w:pPr>
      <w:r w:rsidRPr="00615DB3">
        <w:rPr>
          <w:rStyle w:val="EndnoteReference"/>
          <w:sz w:val="18"/>
        </w:rPr>
        <w:endnoteRef/>
      </w:r>
      <w:r w:rsidRPr="00615DB3">
        <w:rPr>
          <w:sz w:val="18"/>
          <w:lang w:val="fr-FR"/>
        </w:rPr>
        <w:t xml:space="preserve"> Hoffman, Bruce. "Terrorism." </w:t>
      </w:r>
      <w:r w:rsidRPr="00615DB3">
        <w:rPr>
          <w:i/>
          <w:sz w:val="18"/>
          <w:lang w:val="fr-FR"/>
        </w:rPr>
        <w:t>Microsoft® Encarta® 2009</w:t>
      </w:r>
      <w:r w:rsidRPr="00615DB3">
        <w:rPr>
          <w:sz w:val="18"/>
          <w:lang w:val="fr-FR"/>
        </w:rPr>
        <w:t xml:space="preserve"> [DVD]. </w:t>
      </w:r>
      <w:r w:rsidRPr="00615DB3">
        <w:rPr>
          <w:sz w:val="18"/>
        </w:rPr>
        <w:t>Redmond, WA: Microsoft, 2008.</w:t>
      </w:r>
    </w:p>
  </w:endnote>
  <w:endnote w:id="7">
    <w:p w:rsidR="00615DB3" w:rsidRPr="00615DB3" w:rsidRDefault="00615DB3" w:rsidP="00615DB3">
      <w:pPr>
        <w:pStyle w:val="Footnotes"/>
        <w:rPr>
          <w:sz w:val="18"/>
        </w:rPr>
      </w:pPr>
      <w:r w:rsidRPr="00615DB3">
        <w:rPr>
          <w:rStyle w:val="EndnoteReference"/>
          <w:sz w:val="18"/>
        </w:rPr>
        <w:endnoteRef/>
      </w:r>
      <w:r w:rsidRPr="00615DB3">
        <w:rPr>
          <w:sz w:val="18"/>
        </w:rPr>
        <w:t xml:space="preserve"> “Terrorism” American Red Cross. March 2007. &lt;</w:t>
      </w:r>
      <w:hyperlink r:id="rId3" w:history="1">
        <w:r w:rsidRPr="00615DB3">
          <w:rPr>
            <w:rStyle w:val="Hyperlink"/>
            <w:color w:val="253F90"/>
            <w:sz w:val="18"/>
          </w:rPr>
          <w:t>http://www.redcross.org/images/pdfs/code/terrorism.pdf</w:t>
        </w:r>
      </w:hyperlink>
      <w:r w:rsidRPr="00615DB3">
        <w:rPr>
          <w:sz w:val="18"/>
        </w:rPr>
        <w:t xml:space="preserve">&gt; </w:t>
      </w:r>
    </w:p>
  </w:endnote>
  <w:endnote w:id="8">
    <w:p w:rsidR="00615DB3" w:rsidRPr="00615DB3" w:rsidRDefault="00615DB3" w:rsidP="00615DB3">
      <w:pPr>
        <w:pStyle w:val="Footnotes"/>
        <w:rPr>
          <w:sz w:val="18"/>
        </w:rPr>
      </w:pPr>
      <w:r w:rsidRPr="00615DB3">
        <w:rPr>
          <w:rStyle w:val="EndnoteReference"/>
          <w:sz w:val="18"/>
        </w:rPr>
        <w:endnoteRef/>
      </w:r>
      <w:r w:rsidRPr="00615DB3">
        <w:rPr>
          <w:sz w:val="18"/>
        </w:rPr>
        <w:t xml:space="preserve"> Ibid.</w:t>
      </w:r>
    </w:p>
  </w:endnote>
  <w:endnote w:id="9">
    <w:p w:rsidR="00615DB3" w:rsidRPr="00615DB3" w:rsidRDefault="00615DB3" w:rsidP="00615DB3">
      <w:pPr>
        <w:pStyle w:val="Footnotes"/>
        <w:rPr>
          <w:sz w:val="18"/>
        </w:rPr>
      </w:pPr>
      <w:r w:rsidRPr="00615DB3">
        <w:rPr>
          <w:rStyle w:val="EndnoteReference"/>
          <w:sz w:val="18"/>
        </w:rPr>
        <w:endnoteRef/>
      </w:r>
      <w:r w:rsidRPr="00615DB3">
        <w:rPr>
          <w:sz w:val="18"/>
        </w:rPr>
        <w:t xml:space="preserve"> Bowman, Steve. “Weapons of Mass Destruction: The Terrorist Threat.” CRS Report for Congress. 7 March 2002. PDF. </w:t>
      </w:r>
    </w:p>
  </w:endnote>
  <w:endnote w:id="10">
    <w:p w:rsidR="00615DB3" w:rsidRPr="00615DB3" w:rsidRDefault="00615DB3" w:rsidP="00615DB3">
      <w:pPr>
        <w:pStyle w:val="Footnotes"/>
        <w:rPr>
          <w:sz w:val="18"/>
        </w:rPr>
      </w:pPr>
      <w:r w:rsidRPr="00615DB3">
        <w:rPr>
          <w:rStyle w:val="EndnoteReference"/>
          <w:sz w:val="18"/>
        </w:rPr>
        <w:endnoteRef/>
      </w:r>
      <w:r w:rsidRPr="00615DB3">
        <w:rPr>
          <w:sz w:val="18"/>
        </w:rPr>
        <w:t xml:space="preserve"> Parachini, John. “Putting WMD Terrorism into Perspective.” </w:t>
      </w:r>
      <w:r w:rsidRPr="00615DB3">
        <w:rPr>
          <w:i/>
          <w:sz w:val="18"/>
        </w:rPr>
        <w:t>The Washington Quarterly</w:t>
      </w:r>
      <w:r w:rsidRPr="00615DB3">
        <w:rPr>
          <w:sz w:val="18"/>
        </w:rPr>
        <w:t xml:space="preserve">. Autumn 2003. Volume 24, Number 4. </w:t>
      </w:r>
    </w:p>
  </w:endnote>
  <w:endnote w:id="11">
    <w:p w:rsidR="00615DB3" w:rsidRPr="00615DB3" w:rsidRDefault="00615DB3" w:rsidP="00615DB3">
      <w:pPr>
        <w:pStyle w:val="Footnotes"/>
        <w:rPr>
          <w:sz w:val="18"/>
        </w:rPr>
      </w:pPr>
      <w:r w:rsidRPr="00615DB3">
        <w:rPr>
          <w:rStyle w:val="EndnoteReference"/>
          <w:sz w:val="18"/>
        </w:rPr>
        <w:endnoteRef/>
      </w:r>
      <w:r w:rsidRPr="00615DB3">
        <w:rPr>
          <w:sz w:val="18"/>
          <w:lang w:val="fr-FR"/>
        </w:rPr>
        <w:t xml:space="preserve"> Hoffman, Bruce. "Terrorism." </w:t>
      </w:r>
      <w:r w:rsidRPr="00615DB3">
        <w:rPr>
          <w:i/>
          <w:sz w:val="18"/>
          <w:lang w:val="fr-FR"/>
        </w:rPr>
        <w:t>Microsoft® Encarta® 2009</w:t>
      </w:r>
      <w:r w:rsidRPr="00615DB3">
        <w:rPr>
          <w:sz w:val="18"/>
          <w:lang w:val="fr-FR"/>
        </w:rPr>
        <w:t xml:space="preserve"> [DVD]. </w:t>
      </w:r>
      <w:r w:rsidRPr="00615DB3">
        <w:rPr>
          <w:sz w:val="18"/>
        </w:rPr>
        <w:t xml:space="preserve">Redmond, WA: Microsoft, 2008. </w:t>
      </w:r>
    </w:p>
  </w:endnote>
  <w:endnote w:id="12">
    <w:p w:rsidR="00615DB3" w:rsidRPr="00615DB3" w:rsidRDefault="00615DB3" w:rsidP="00615DB3">
      <w:pPr>
        <w:pStyle w:val="Footnotes"/>
        <w:rPr>
          <w:sz w:val="18"/>
        </w:rPr>
      </w:pPr>
      <w:r w:rsidRPr="00615DB3">
        <w:rPr>
          <w:rStyle w:val="EndnoteReference"/>
          <w:sz w:val="18"/>
        </w:rPr>
        <w:endnoteRef/>
      </w:r>
      <w:r w:rsidRPr="00615DB3">
        <w:rPr>
          <w:sz w:val="18"/>
        </w:rPr>
        <w:t xml:space="preserve"> Ibid.</w:t>
      </w:r>
    </w:p>
  </w:endnote>
  <w:endnote w:id="13">
    <w:p w:rsidR="00615DB3" w:rsidRPr="00615DB3" w:rsidRDefault="00615DB3" w:rsidP="00615DB3">
      <w:pPr>
        <w:pStyle w:val="Footnotes"/>
        <w:rPr>
          <w:sz w:val="18"/>
        </w:rPr>
      </w:pPr>
      <w:r w:rsidRPr="00615DB3">
        <w:rPr>
          <w:rStyle w:val="EndnoteReference"/>
          <w:sz w:val="18"/>
        </w:rPr>
        <w:endnoteRef/>
      </w:r>
      <w:r w:rsidRPr="00615DB3">
        <w:rPr>
          <w:sz w:val="18"/>
        </w:rPr>
        <w:t xml:space="preserve"> Office of the United Nations High Commissioner for Human Rights. “Human Rights, Terrorism and Counter-terrorism.” July 2008. </w:t>
      </w:r>
      <w:hyperlink r:id="rId4" w:history="1">
        <w:r w:rsidRPr="00615DB3">
          <w:rPr>
            <w:rStyle w:val="Hyperlink"/>
            <w:color w:val="253F90"/>
            <w:sz w:val="18"/>
          </w:rPr>
          <w:t>&lt;http://www.ohchr.org/Documents/Publications/Factsheet32EN.pdf</w:t>
        </w:r>
      </w:hyperlink>
      <w:r w:rsidRPr="00615DB3">
        <w:rPr>
          <w:sz w:val="18"/>
        </w:rPr>
        <w:t xml:space="preserve">&gt; </w:t>
      </w:r>
    </w:p>
  </w:endnote>
  <w:endnote w:id="14">
    <w:p w:rsidR="00615DB3" w:rsidRPr="00615DB3" w:rsidRDefault="00615DB3" w:rsidP="00615DB3">
      <w:pPr>
        <w:pStyle w:val="Footnotes"/>
        <w:rPr>
          <w:color w:val="FFFFFF" w:themeColor="background1"/>
          <w:sz w:val="18"/>
        </w:rPr>
      </w:pPr>
      <w:r w:rsidRPr="00615DB3">
        <w:rPr>
          <w:rStyle w:val="EndnoteReference"/>
          <w:sz w:val="18"/>
        </w:rPr>
        <w:endnoteRef/>
      </w:r>
      <w:r w:rsidRPr="00615DB3">
        <w:rPr>
          <w:sz w:val="18"/>
        </w:rPr>
        <w:t xml:space="preserve"> “Security and Human Rights: counter-terrorism and the United Nations.” Amnesty International. September 2008. PDF.</w:t>
      </w:r>
      <w:r w:rsidRPr="00615DB3">
        <w:rPr>
          <w:color w:val="FFFFFF" w:themeColor="background1"/>
          <w:sz w:val="18"/>
        </w:rPr>
        <w:t xml:space="preserve">  </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w:charset w:val="00"/>
    <w:family w:val="swiss"/>
    <w:pitch w:val="variable"/>
    <w:sig w:usb0="00000001" w:usb1="1000204A" w:usb2="00000000" w:usb3="00000000" w:csb0="00000011" w:csb1="00000000"/>
  </w:font>
  <w:font w:name="Century Schoolbook">
    <w:panose1 w:val="0204060405050502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2AF5" w:rsidRDefault="00DD2AF5" w:rsidP="00192AEB">
      <w:pPr>
        <w:pStyle w:val="Header"/>
      </w:pPr>
      <w:r>
        <w:separator/>
      </w:r>
    </w:p>
  </w:footnote>
  <w:footnote w:type="continuationSeparator" w:id="0">
    <w:p w:rsidR="00DD2AF5" w:rsidRDefault="00DD2AF5" w:rsidP="00192AEB">
      <w:pPr>
        <w:pStyle w:val="Header"/>
      </w:pPr>
      <w:r>
        <w:continuationSeparator/>
      </w:r>
    </w:p>
  </w:footnote>
  <w:footnote w:id="1">
    <w:p w:rsidR="00615DB3" w:rsidRPr="00615DB3" w:rsidRDefault="00615DB3" w:rsidP="00615DB3">
      <w:pPr>
        <w:pStyle w:val="FootnoteText"/>
        <w:rPr>
          <w:rFonts w:ascii="Futura Lt BT" w:hAnsi="Futura Lt BT"/>
          <w:color w:val="253F90"/>
        </w:rPr>
      </w:pPr>
      <w:r w:rsidRPr="00615DB3">
        <w:rPr>
          <w:rStyle w:val="FootnoteReference"/>
          <w:rFonts w:ascii="Futura Lt BT" w:hAnsi="Futura Lt BT"/>
          <w:color w:val="FFFFFF" w:themeColor="background1"/>
          <w:sz w:val="2"/>
        </w:rPr>
        <w:footnoteRef/>
      </w:r>
      <w:r w:rsidRPr="00615DB3">
        <w:rPr>
          <w:rFonts w:ascii="Futura Lt BT" w:hAnsi="Futura Lt BT"/>
          <w:b/>
          <w:color w:val="253F90"/>
        </w:rPr>
        <w:t xml:space="preserve">Non-State: </w:t>
      </w:r>
      <w:r w:rsidRPr="00615DB3">
        <w:rPr>
          <w:rFonts w:ascii="Futura Lt BT" w:hAnsi="Futura Lt BT"/>
          <w:color w:val="253F90"/>
        </w:rPr>
        <w:t>Organizations involved in global issues that are not countries</w:t>
      </w:r>
    </w:p>
  </w:footnote>
  <w:footnote w:id="2">
    <w:p w:rsidR="00615DB3" w:rsidRPr="00615DB3" w:rsidRDefault="00615DB3" w:rsidP="00615DB3">
      <w:pPr>
        <w:pStyle w:val="FootnoteText"/>
        <w:rPr>
          <w:rFonts w:ascii="Futura Lt BT" w:hAnsi="Futura Lt BT"/>
          <w:color w:val="253F90"/>
        </w:rPr>
      </w:pPr>
      <w:r w:rsidRPr="00615DB3">
        <w:rPr>
          <w:rStyle w:val="FootnoteReference"/>
          <w:rFonts w:ascii="Futura Lt BT" w:hAnsi="Futura Lt BT"/>
          <w:color w:val="FFFFFF" w:themeColor="background1"/>
          <w:sz w:val="2"/>
        </w:rPr>
        <w:footnoteRef/>
      </w:r>
      <w:r w:rsidRPr="00615DB3">
        <w:rPr>
          <w:rFonts w:ascii="Futura Lt BT" w:hAnsi="Futura Lt BT"/>
          <w:color w:val="253F90"/>
          <w:sz w:val="2"/>
        </w:rPr>
        <w:t xml:space="preserve"> </w:t>
      </w:r>
      <w:r w:rsidRPr="00615DB3">
        <w:rPr>
          <w:rFonts w:ascii="Futura Lt BT" w:hAnsi="Futura Lt BT"/>
          <w:b/>
          <w:color w:val="253F90"/>
        </w:rPr>
        <w:t>Agro-terrorism</w:t>
      </w:r>
      <w:r w:rsidRPr="00615DB3">
        <w:rPr>
          <w:rFonts w:ascii="Futura Lt BT" w:hAnsi="Futura Lt BT"/>
          <w:color w:val="253F90"/>
        </w:rPr>
        <w:t>: terrorist attack on farming or food supply using plant or animal bacteria and virus</w:t>
      </w:r>
    </w:p>
  </w:footnote>
  <w:footnote w:id="3">
    <w:p w:rsidR="00615DB3" w:rsidRDefault="00615DB3" w:rsidP="00615DB3">
      <w:pPr>
        <w:pStyle w:val="FootnoteText"/>
      </w:pPr>
      <w:r w:rsidRPr="00615DB3">
        <w:rPr>
          <w:rStyle w:val="FootnoteReference"/>
          <w:rFonts w:ascii="Futura Lt BT" w:hAnsi="Futura Lt BT"/>
          <w:color w:val="FFFFFF" w:themeColor="background1"/>
          <w:sz w:val="2"/>
        </w:rPr>
        <w:footnoteRef/>
      </w:r>
      <w:r w:rsidRPr="00615DB3">
        <w:rPr>
          <w:rFonts w:ascii="Futura Lt BT" w:hAnsi="Futura Lt BT"/>
          <w:color w:val="FFFFFF" w:themeColor="background1"/>
          <w:sz w:val="2"/>
        </w:rPr>
        <w:t xml:space="preserve"> </w:t>
      </w:r>
      <w:r w:rsidRPr="00615DB3">
        <w:rPr>
          <w:rFonts w:ascii="Futura Lt BT" w:hAnsi="Futura Lt BT"/>
          <w:b/>
          <w:color w:val="253F90"/>
        </w:rPr>
        <w:t>Weapons of mass destruction</w:t>
      </w:r>
      <w:r w:rsidRPr="00615DB3">
        <w:rPr>
          <w:rFonts w:ascii="Futura Lt BT" w:hAnsi="Futura Lt BT"/>
          <w:color w:val="253F90"/>
        </w:rPr>
        <w:t>: a weapon that causes harm to a large number of people, the environment, or man-made structures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5A" w:rsidRDefault="00615DB3" w:rsidP="00615DB3">
    <w:pPr>
      <w:pStyle w:val="Header"/>
      <w:pBdr>
        <w:bottom w:val="single" w:sz="4" w:space="1" w:color="253F90"/>
      </w:pBdr>
    </w:pPr>
    <w:r>
      <w:rPr>
        <w:noProof/>
      </w:rPr>
      <w:drawing>
        <wp:inline distT="0" distB="0" distL="0" distR="0">
          <wp:extent cx="1099317" cy="542925"/>
          <wp:effectExtent l="19050" t="0" r="5583" b="0"/>
          <wp:docPr id="1" name="Picture 0" descr="full color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 color logo.png"/>
                  <pic:cNvPicPr/>
                </pic:nvPicPr>
                <pic:blipFill>
                  <a:blip r:embed="rId1"/>
                  <a:stretch>
                    <a:fillRect/>
                  </a:stretch>
                </pic:blipFill>
                <pic:spPr>
                  <a:xfrm>
                    <a:off x="0" y="0"/>
                    <a:ext cx="1100029" cy="54327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87D13"/>
    <w:multiLevelType w:val="hybridMultilevel"/>
    <w:tmpl w:val="F02A2304"/>
    <w:lvl w:ilvl="0" w:tplc="F77C004E">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2E6040"/>
    <w:multiLevelType w:val="hybridMultilevel"/>
    <w:tmpl w:val="93908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5A1C64"/>
    <w:multiLevelType w:val="hybridMultilevel"/>
    <w:tmpl w:val="9FB8D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7170">
      <o:colormenu v:ext="edit" fillcolor="none [2732]" strokecolor="none" shadowcolor="none"/>
    </o:shapedefaults>
  </w:hdrShapeDefaults>
  <w:footnotePr>
    <w:footnote w:id="-1"/>
    <w:footnote w:id="0"/>
  </w:footnotePr>
  <w:endnotePr>
    <w:endnote w:id="-1"/>
    <w:endnote w:id="0"/>
  </w:endnotePr>
  <w:compat/>
  <w:rsids>
    <w:rsidRoot w:val="003A7661"/>
    <w:rsid w:val="0001444A"/>
    <w:rsid w:val="000330CF"/>
    <w:rsid w:val="00057450"/>
    <w:rsid w:val="00067CE1"/>
    <w:rsid w:val="0008071F"/>
    <w:rsid w:val="00083F36"/>
    <w:rsid w:val="000D3FBA"/>
    <w:rsid w:val="000F3729"/>
    <w:rsid w:val="0011023C"/>
    <w:rsid w:val="00147B02"/>
    <w:rsid w:val="00152496"/>
    <w:rsid w:val="00154D58"/>
    <w:rsid w:val="001655BA"/>
    <w:rsid w:val="00173BFA"/>
    <w:rsid w:val="00192AEB"/>
    <w:rsid w:val="001A1108"/>
    <w:rsid w:val="001A6566"/>
    <w:rsid w:val="001E74BA"/>
    <w:rsid w:val="0024176A"/>
    <w:rsid w:val="0024194E"/>
    <w:rsid w:val="00246896"/>
    <w:rsid w:val="00247E00"/>
    <w:rsid w:val="00260987"/>
    <w:rsid w:val="00260A27"/>
    <w:rsid w:val="00281C51"/>
    <w:rsid w:val="00292633"/>
    <w:rsid w:val="002C2E70"/>
    <w:rsid w:val="002D1089"/>
    <w:rsid w:val="003054E2"/>
    <w:rsid w:val="003306A3"/>
    <w:rsid w:val="00332CF1"/>
    <w:rsid w:val="00342B29"/>
    <w:rsid w:val="00360BD8"/>
    <w:rsid w:val="00396B9E"/>
    <w:rsid w:val="003A7661"/>
    <w:rsid w:val="003B02F8"/>
    <w:rsid w:val="003E12E7"/>
    <w:rsid w:val="003E4A3B"/>
    <w:rsid w:val="003E722C"/>
    <w:rsid w:val="003F1236"/>
    <w:rsid w:val="00427091"/>
    <w:rsid w:val="0045747C"/>
    <w:rsid w:val="004C2FA7"/>
    <w:rsid w:val="004E4DB8"/>
    <w:rsid w:val="0050284A"/>
    <w:rsid w:val="00505F3D"/>
    <w:rsid w:val="00552813"/>
    <w:rsid w:val="005879BF"/>
    <w:rsid w:val="005F3CA4"/>
    <w:rsid w:val="00615DB3"/>
    <w:rsid w:val="00627F05"/>
    <w:rsid w:val="00630DEA"/>
    <w:rsid w:val="006470FD"/>
    <w:rsid w:val="006A2E76"/>
    <w:rsid w:val="006E4165"/>
    <w:rsid w:val="006F5775"/>
    <w:rsid w:val="00736D61"/>
    <w:rsid w:val="00737A0C"/>
    <w:rsid w:val="00744607"/>
    <w:rsid w:val="00760C17"/>
    <w:rsid w:val="00795B7C"/>
    <w:rsid w:val="00796511"/>
    <w:rsid w:val="007A513B"/>
    <w:rsid w:val="007E6E8B"/>
    <w:rsid w:val="008265D6"/>
    <w:rsid w:val="008313C3"/>
    <w:rsid w:val="00835694"/>
    <w:rsid w:val="00844B8C"/>
    <w:rsid w:val="008820B4"/>
    <w:rsid w:val="00890D3B"/>
    <w:rsid w:val="008A059F"/>
    <w:rsid w:val="008E6287"/>
    <w:rsid w:val="008F5402"/>
    <w:rsid w:val="00917B30"/>
    <w:rsid w:val="00920508"/>
    <w:rsid w:val="00921E6E"/>
    <w:rsid w:val="00972CEB"/>
    <w:rsid w:val="009B61DF"/>
    <w:rsid w:val="009B78CD"/>
    <w:rsid w:val="009C489D"/>
    <w:rsid w:val="009C4D6D"/>
    <w:rsid w:val="009D6736"/>
    <w:rsid w:val="009F04FA"/>
    <w:rsid w:val="00A27DF5"/>
    <w:rsid w:val="00A461BC"/>
    <w:rsid w:val="00A55228"/>
    <w:rsid w:val="00A76EDC"/>
    <w:rsid w:val="00A866B4"/>
    <w:rsid w:val="00A9451D"/>
    <w:rsid w:val="00AD5779"/>
    <w:rsid w:val="00AE7921"/>
    <w:rsid w:val="00B05131"/>
    <w:rsid w:val="00B34741"/>
    <w:rsid w:val="00B3757C"/>
    <w:rsid w:val="00B4284A"/>
    <w:rsid w:val="00B555E3"/>
    <w:rsid w:val="00B85F47"/>
    <w:rsid w:val="00B95546"/>
    <w:rsid w:val="00BA4F70"/>
    <w:rsid w:val="00BB12EA"/>
    <w:rsid w:val="00BE5B48"/>
    <w:rsid w:val="00BF40AB"/>
    <w:rsid w:val="00C00CB8"/>
    <w:rsid w:val="00C14F8B"/>
    <w:rsid w:val="00C31E7D"/>
    <w:rsid w:val="00C3405A"/>
    <w:rsid w:val="00C40019"/>
    <w:rsid w:val="00C44DF0"/>
    <w:rsid w:val="00C7351C"/>
    <w:rsid w:val="00C97C44"/>
    <w:rsid w:val="00CA5CCF"/>
    <w:rsid w:val="00CC0E6D"/>
    <w:rsid w:val="00CC68E7"/>
    <w:rsid w:val="00CE0D57"/>
    <w:rsid w:val="00CF3130"/>
    <w:rsid w:val="00D16F08"/>
    <w:rsid w:val="00D42FFC"/>
    <w:rsid w:val="00D4631B"/>
    <w:rsid w:val="00D501A5"/>
    <w:rsid w:val="00D54DE1"/>
    <w:rsid w:val="00DA0F82"/>
    <w:rsid w:val="00DD138C"/>
    <w:rsid w:val="00DD2AF5"/>
    <w:rsid w:val="00E122CC"/>
    <w:rsid w:val="00E12884"/>
    <w:rsid w:val="00E3090F"/>
    <w:rsid w:val="00E4306E"/>
    <w:rsid w:val="00E5438C"/>
    <w:rsid w:val="00E64130"/>
    <w:rsid w:val="00E6734E"/>
    <w:rsid w:val="00EC2D0B"/>
    <w:rsid w:val="00EE15F3"/>
    <w:rsid w:val="00EE4A96"/>
    <w:rsid w:val="00EF22B7"/>
    <w:rsid w:val="00F3049D"/>
    <w:rsid w:val="00F43E6B"/>
    <w:rsid w:val="00F96E76"/>
    <w:rsid w:val="00FA20A2"/>
    <w:rsid w:val="00FB3E0D"/>
    <w:rsid w:val="00FC1F6B"/>
    <w:rsid w:val="00FC7371"/>
    <w:rsid w:val="00FD5300"/>
    <w:rsid w:val="00FD5CB2"/>
    <w:rsid w:val="00FF1945"/>
    <w:rsid w:val="00FF59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2732]" strokecolor="none" shadowcolor="none"/>
    </o:shapedefaults>
    <o:shapelayout v:ext="edit">
      <o:idmap v:ext="edit" data="1"/>
      <o:rules v:ext="edit">
        <o:r id="V:Rule2" type="connector" idref="#_x0000_s1059"/>
      </o:rules>
      <o:regrouptable v:ext="edit">
        <o:entry new="1" old="0"/>
        <o:entry new="2" old="0"/>
        <o:entry new="3" old="0"/>
        <o:entry new="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B48"/>
  </w:style>
  <w:style w:type="paragraph" w:styleId="Heading1">
    <w:name w:val="heading 1"/>
    <w:basedOn w:val="Normal"/>
    <w:next w:val="Normal"/>
    <w:link w:val="Heading1Char"/>
    <w:uiPriority w:val="9"/>
    <w:qFormat/>
    <w:rsid w:val="00835694"/>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722C"/>
    <w:rPr>
      <w:color w:val="0000FF" w:themeColor="hyperlink"/>
      <w:u w:val="single"/>
    </w:rPr>
  </w:style>
  <w:style w:type="paragraph" w:styleId="Caption">
    <w:name w:val="caption"/>
    <w:basedOn w:val="Normal"/>
    <w:next w:val="Normal"/>
    <w:uiPriority w:val="35"/>
    <w:unhideWhenUsed/>
    <w:qFormat/>
    <w:rsid w:val="003E722C"/>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F43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E6B"/>
    <w:rPr>
      <w:rFonts w:ascii="Tahoma" w:hAnsi="Tahoma" w:cs="Tahoma"/>
      <w:sz w:val="16"/>
      <w:szCs w:val="16"/>
    </w:rPr>
  </w:style>
  <w:style w:type="paragraph" w:styleId="ListParagraph">
    <w:name w:val="List Paragraph"/>
    <w:basedOn w:val="Normal"/>
    <w:uiPriority w:val="34"/>
    <w:qFormat/>
    <w:rsid w:val="00F43E6B"/>
    <w:pPr>
      <w:ind w:left="720"/>
      <w:contextualSpacing/>
    </w:pPr>
  </w:style>
  <w:style w:type="paragraph" w:styleId="Header">
    <w:name w:val="header"/>
    <w:basedOn w:val="Normal"/>
    <w:link w:val="HeaderChar"/>
    <w:uiPriority w:val="99"/>
    <w:semiHidden/>
    <w:unhideWhenUsed/>
    <w:rsid w:val="00192AE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92AEB"/>
  </w:style>
  <w:style w:type="paragraph" w:styleId="Footer">
    <w:name w:val="footer"/>
    <w:basedOn w:val="Normal"/>
    <w:link w:val="FooterChar"/>
    <w:uiPriority w:val="99"/>
    <w:unhideWhenUsed/>
    <w:rsid w:val="00192A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2AEB"/>
  </w:style>
  <w:style w:type="paragraph" w:styleId="FootnoteText">
    <w:name w:val="footnote text"/>
    <w:basedOn w:val="Normal"/>
    <w:link w:val="FootnoteTextChar"/>
    <w:uiPriority w:val="99"/>
    <w:semiHidden/>
    <w:unhideWhenUsed/>
    <w:rsid w:val="00B3757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57C"/>
    <w:rPr>
      <w:sz w:val="20"/>
      <w:szCs w:val="20"/>
    </w:rPr>
  </w:style>
  <w:style w:type="character" w:styleId="FootnoteReference">
    <w:name w:val="footnote reference"/>
    <w:basedOn w:val="DefaultParagraphFont"/>
    <w:uiPriority w:val="99"/>
    <w:semiHidden/>
    <w:unhideWhenUsed/>
    <w:rsid w:val="00B3757C"/>
    <w:rPr>
      <w:vertAlign w:val="superscript"/>
    </w:rPr>
  </w:style>
  <w:style w:type="paragraph" w:customStyle="1" w:styleId="SectionTitle">
    <w:name w:val="Section Title"/>
    <w:basedOn w:val="Normal"/>
    <w:link w:val="SectionTitleChar"/>
    <w:autoRedefine/>
    <w:qFormat/>
    <w:rsid w:val="006F5775"/>
    <w:pPr>
      <w:spacing w:before="180" w:after="80" w:line="240" w:lineRule="auto"/>
      <w:jc w:val="center"/>
    </w:pPr>
    <w:rPr>
      <w:rFonts w:ascii="Futura Lt BT" w:eastAsia="Times New Roman" w:hAnsi="Futura Lt BT" w:cs="Times New Roman"/>
      <w:b/>
      <w:caps/>
      <w:color w:val="253F90"/>
      <w:sz w:val="28"/>
      <w:szCs w:val="20"/>
    </w:rPr>
  </w:style>
  <w:style w:type="character" w:customStyle="1" w:styleId="SectionTitleChar">
    <w:name w:val="Section Title Char"/>
    <w:basedOn w:val="DefaultParagraphFont"/>
    <w:link w:val="SectionTitle"/>
    <w:rsid w:val="006F5775"/>
    <w:rPr>
      <w:rFonts w:ascii="Futura Lt BT" w:eastAsia="Times New Roman" w:hAnsi="Futura Lt BT" w:cs="Times New Roman"/>
      <w:b/>
      <w:caps/>
      <w:color w:val="253F90"/>
      <w:sz w:val="28"/>
      <w:szCs w:val="20"/>
    </w:rPr>
  </w:style>
  <w:style w:type="character" w:customStyle="1" w:styleId="Heading1Char">
    <w:name w:val="Heading 1 Char"/>
    <w:basedOn w:val="DefaultParagraphFont"/>
    <w:link w:val="Heading1"/>
    <w:uiPriority w:val="9"/>
    <w:rsid w:val="00835694"/>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835694"/>
  </w:style>
  <w:style w:type="paragraph" w:styleId="EndnoteText">
    <w:name w:val="endnote text"/>
    <w:basedOn w:val="Normal"/>
    <w:link w:val="EndnoteTextChar"/>
    <w:uiPriority w:val="99"/>
    <w:unhideWhenUsed/>
    <w:rsid w:val="00921E6E"/>
    <w:pPr>
      <w:spacing w:after="0" w:line="240" w:lineRule="auto"/>
    </w:pPr>
    <w:rPr>
      <w:sz w:val="20"/>
      <w:szCs w:val="20"/>
    </w:rPr>
  </w:style>
  <w:style w:type="character" w:customStyle="1" w:styleId="EndnoteTextChar">
    <w:name w:val="Endnote Text Char"/>
    <w:basedOn w:val="DefaultParagraphFont"/>
    <w:link w:val="EndnoteText"/>
    <w:uiPriority w:val="99"/>
    <w:rsid w:val="00921E6E"/>
    <w:rPr>
      <w:sz w:val="20"/>
      <w:szCs w:val="20"/>
    </w:rPr>
  </w:style>
  <w:style w:type="character" w:styleId="EndnoteReference">
    <w:name w:val="endnote reference"/>
    <w:basedOn w:val="DefaultParagraphFont"/>
    <w:uiPriority w:val="99"/>
    <w:semiHidden/>
    <w:unhideWhenUsed/>
    <w:rsid w:val="00921E6E"/>
    <w:rPr>
      <w:vertAlign w:val="superscript"/>
    </w:rPr>
  </w:style>
  <w:style w:type="paragraph" w:customStyle="1" w:styleId="Footnotes">
    <w:name w:val="Footnotes"/>
    <w:basedOn w:val="FootnoteText"/>
    <w:link w:val="FootnotesChar"/>
    <w:qFormat/>
    <w:rsid w:val="00615DB3"/>
    <w:pPr>
      <w:spacing w:after="40"/>
    </w:pPr>
    <w:rPr>
      <w:rFonts w:ascii="Futura Lt BT" w:hAnsi="Futura Lt BT"/>
      <w:color w:val="253F90"/>
    </w:rPr>
  </w:style>
  <w:style w:type="character" w:customStyle="1" w:styleId="FootnotesChar">
    <w:name w:val="Footnotes Char"/>
    <w:basedOn w:val="FootnoteTextChar"/>
    <w:link w:val="Footnotes"/>
    <w:rsid w:val="00615DB3"/>
    <w:rPr>
      <w:rFonts w:ascii="Futura Lt BT" w:hAnsi="Futura Lt BT"/>
      <w:color w:val="253F90"/>
    </w:rPr>
  </w:style>
  <w:style w:type="paragraph" w:customStyle="1" w:styleId="Style1">
    <w:name w:val="Style1"/>
    <w:basedOn w:val="Heading1"/>
    <w:link w:val="Style1Char"/>
    <w:autoRedefine/>
    <w:qFormat/>
    <w:rsid w:val="00615DB3"/>
    <w:pPr>
      <w:keepLines w:val="0"/>
      <w:tabs>
        <w:tab w:val="left" w:pos="9630"/>
      </w:tabs>
      <w:spacing w:before="180" w:after="120" w:line="240" w:lineRule="auto"/>
      <w:ind w:right="-1267"/>
      <w:jc w:val="both"/>
    </w:pPr>
    <w:rPr>
      <w:rFonts w:ascii="Futura Lt BT" w:eastAsia="Times New Roman" w:hAnsi="Futura Lt BT" w:cs="Times New Roman"/>
      <w:bCs w:val="0"/>
      <w:noProof/>
      <w:color w:val="F79646" w:themeColor="accent6"/>
      <w:szCs w:val="20"/>
      <w:lang w:bidi="ar-SA"/>
    </w:rPr>
  </w:style>
  <w:style w:type="character" w:customStyle="1" w:styleId="Style1Char">
    <w:name w:val="Style1 Char"/>
    <w:basedOn w:val="Heading1Char"/>
    <w:link w:val="Style1"/>
    <w:rsid w:val="00615DB3"/>
    <w:rPr>
      <w:rFonts w:ascii="Futura Lt BT" w:eastAsia="Times New Roman" w:hAnsi="Futura Lt BT" w:cs="Times New Roman"/>
      <w:b/>
      <w:noProof/>
      <w:color w:val="F79646" w:themeColor="accent6"/>
      <w:szCs w:val="20"/>
    </w:rPr>
  </w:style>
  <w:style w:type="paragraph" w:customStyle="1" w:styleId="Sub-SectionHeader">
    <w:name w:val="Sub-Section Header"/>
    <w:basedOn w:val="Normal"/>
    <w:link w:val="Sub-SectionHeaderChar"/>
    <w:autoRedefine/>
    <w:qFormat/>
    <w:rsid w:val="00615DB3"/>
    <w:pPr>
      <w:spacing w:after="60" w:line="240" w:lineRule="auto"/>
    </w:pPr>
    <w:rPr>
      <w:rFonts w:ascii="Futura Lt BT" w:eastAsia="Times New Roman" w:hAnsi="Futura Lt BT" w:cs="Times New Roman"/>
      <w:b/>
      <w:caps/>
      <w:color w:val="F79646"/>
      <w:sz w:val="24"/>
      <w:szCs w:val="24"/>
    </w:rPr>
  </w:style>
  <w:style w:type="character" w:customStyle="1" w:styleId="Sub-SectionHeaderChar">
    <w:name w:val="Sub-Section Header Char"/>
    <w:basedOn w:val="DefaultParagraphFont"/>
    <w:link w:val="Sub-SectionHeader"/>
    <w:rsid w:val="00615DB3"/>
    <w:rPr>
      <w:rFonts w:ascii="Futura Lt BT" w:eastAsia="Times New Roman" w:hAnsi="Futura Lt BT" w:cs="Times New Roman"/>
      <w:b/>
      <w:caps/>
      <w:color w:val="F79646"/>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endnotes.xml.rels><?xml version="1.0" encoding="UTF-8" standalone="yes"?>
<Relationships xmlns="http://schemas.openxmlformats.org/package/2006/relationships"><Relationship Id="rId3" Type="http://schemas.openxmlformats.org/officeDocument/2006/relationships/hyperlink" Target="http://www.redcross.org/images/pdfs/code/terrorism.pdf" TargetMode="External"/><Relationship Id="rId2" Type="http://schemas.openxmlformats.org/officeDocument/2006/relationships/hyperlink" Target="http://www.un.org/ga/search/view_doc.asp?symbol=A/RES/65/34" TargetMode="External"/><Relationship Id="rId1" Type="http://schemas.openxmlformats.org/officeDocument/2006/relationships/hyperlink" Target="http://www.un.org/unitingagainstterrorism/" TargetMode="External"/><Relationship Id="rId4" Type="http://schemas.openxmlformats.org/officeDocument/2006/relationships/hyperlink" Target="file:///\\common\Documents\Shared%20UNAGB%20DOCS\Global%20Classrooms\Interns\Summer%202011\Miriam\%3chttp:\www.ohchr.org\Documents\Publications\Factsheet32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Uni05</b:Tag>
    <b:SourceType>DocumentFromInternetSite</b:SourceType>
    <b:Guid>{A4F2BD11-AEE5-4F46-8408-42FD01D33ED4}</b:Guid>
    <b:LCID>0</b:LCID>
    <b:Author>
      <b:Author>
        <b:Corporate>United Nations Department of Public Information</b:Corporate>
      </b:Author>
    </b:Author>
    <b:Title>Chernobyl : The True Scale of the Accident</b:Title>
    <b:InternetSiteTitle>United Nations Web site</b:InternetSiteTitle>
    <b:Year>2005</b:Year>
    <b:Month>September</b:Month>
    <b:Day>5</b:Day>
    <b:YearAccessed>2011</b:YearAccessed>
    <b:MonthAccessed>June</b:MonthAccessed>
    <b:DayAccessed>13</b:DayAccessed>
    <b:URL>http://www.un.org/News/Press/docs/2005/dev2539.doc.htm</b:URL>
    <b:RefOrder>1</b:RefOrder>
  </b:Source>
  <b:Source>
    <b:Tag>CNN112</b:Tag>
    <b:SourceType>InternetSite</b:SourceType>
    <b:Guid>{3FFC1108-3D30-419E-BBF0-240E0A9F68E3}</b:Guid>
    <b:LCID>0</b:LCID>
    <b:Author>
      <b:Author>
        <b:Corporate>CNN Wire Staff</b:Corporate>
      </b:Author>
    </b:Author>
    <b:Title>3 nuclear reactors melted down after quake, Japan confirms</b:Title>
    <b:InternetSiteTitle>Cable News Network (CNN) Web site</b:InternetSiteTitle>
    <b:Year>2011</b:Year>
    <b:Month>June</b:Month>
    <b:Day>7</b:Day>
    <b:YearAccessed>2011</b:YearAccessed>
    <b:MonthAccessed>June</b:MonthAccessed>
    <b:DayAccessed>13</b:DayAccessed>
    <b:URL>http://edition.cnn.com/2011/WORLD/asiapcf/06/06/japan.nuclear.meltdown/index.html?iref=NS1</b:URL>
    <b:RefOrder>2</b:RefOrder>
  </b:Source>
  <b:Source>
    <b:Tag>Int11</b:Tag>
    <b:SourceType>Report</b:SourceType>
    <b:Guid>{EA0E0919-B37A-415F-8AE3-64B96196F3B1}</b:Guid>
    <b:LCID>0</b:LCID>
    <b:Author>
      <b:Author>
        <b:Corporate>International Atomic Energy Agency (IAEA)</b:Corporate>
      </b:Author>
    </b:Author>
    <b:Title>International Status and Prospects of Nuclear Power, 2010 Edition</b:Title>
    <b:InternetSiteTitle>IAEA Web site</b:InternetSiteTitle>
    <b:Year>2011</b:Year>
    <b:Publisher>Marketing and Sales Unit, Publishing Section, IAEA</b:Publisher>
    <b:City>Vienna, Austria</b:City>
    <b:RefOrder>3</b:RefOrder>
  </b:Source>
</b:Sources>
</file>

<file path=customXml/itemProps1.xml><?xml version="1.0" encoding="utf-8"?>
<ds:datastoreItem xmlns:ds="http://schemas.openxmlformats.org/officeDocument/2006/customXml" ds:itemID="{BC60CA93-0B18-47FD-BFA2-44EB555B8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892</Words>
  <Characters>5089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mpstech</cp:lastModifiedBy>
  <cp:revision>2</cp:revision>
  <cp:lastPrinted>2011-08-16T15:16:00Z</cp:lastPrinted>
  <dcterms:created xsi:type="dcterms:W3CDTF">2012-02-17T16:20:00Z</dcterms:created>
  <dcterms:modified xsi:type="dcterms:W3CDTF">2012-02-17T16:20:00Z</dcterms:modified>
</cp:coreProperties>
</file>